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269</w:t>
      </w:r>
    </w:p>
    <w:p>
      <w:r>
        <w:t>Bundesgericht (BGE), 1995-10-11, DE</w:t>
      </w:r>
    </w:p>
    <w:p>
      <w:r>
        <w:rPr>
          <w:b/>
        </w:rPr>
        <w:t xml:space="preserve">Quelle: </w:t>
      </w:r>
      <w:r>
        <w:t>https://mcp.opencaselaw.ch/entscheid/bge_121 IV 269</w:t>
      </w:r>
    </w:p>
    <w:p>
      <w:r>
        <w:t>FR: ATF 121 IV 269</w:t>
      </w:r>
    </w:p>
    <w:p>
      <w:r>
        <w:t>IT: DTF 121 IV 269</w:t>
      </w:r>
    </w:p>
    <w:p>
      <w:pPr>
        <w:pStyle w:val="Heading2"/>
      </w:pPr>
      <w:r>
        <w:t>Regeste</w:t>
      </w:r>
    </w:p>
    <w:p>
      <w:r>
        <w:t>Regeste Art. 185 Ziff. 2 StGB; qualifizierte Geiselnahme; Drohung, das Opfer zu töten; Einsatz einer ungeladenen Pistole. Objektive Voraussetzung der Qualifikation aufgrund der Umstände bejaht bei einer Geiselnahme, bei welcher der Täter die Geisel in Anwesenheit der Polizei mit einer ungeladenen Pistole bedroht hat (E. 1c; Konkretisierung der mit BGE 121 IV 178 begründeten Rechtsprechung).</w:t>
      </w:r>
    </w:p>
    <w:p>
      <w:pPr>
        <w:pStyle w:val="Heading2"/>
      </w:pPr>
      <w:r>
        <w:t>Erwägungen</w:t>
      </w:r>
    </w:p>
    <w:p>
      <w:r>
        <w:rPr>
          <w:b/>
        </w:rPr>
        <w:t>E. 1</w:t>
      </w:r>
    </w:p>
    <w:p>
      <w:r>
        <w:t>a) 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Der Beschwerdegegner hat den Grundtatbestand der Geiselnahme unstreitig erfüllt. Es stellt sich einzig die Frage, ob die Qualifikation nach Ziff. 2 gegeben sei. b) (Zusammenfassung der mit BGE 121 IV 178 begründeten Rechtsprechung). c) P. wusste nicht, dass der Beschwerdegegner seine Pistole nur mit einer einzigen Patrone geladen hatte. Sie glaubte nach den verbindlichen tatsächlichen Feststellungen der Vorinstanz ( Art. 277bis Abs. 1 BStP ), der Beschwerdegegner könne seine Drohung wahrmachen. Sie wurde deshalb in Todesangst versetzt. Es bestand für sie somit das Risiko eines Schocks. Ihre psychische Belastung während der Geiselnahme war beträchtlich. Sie war dabei, als der Beschwerdegegner N. bedroht und dabei einen Schuss abgegeben hatte, und sie befürchtete in der ersten Phase im Restaurant, dass der Beschwerdegegner sie erschiessen würde. Der Beschwerdegegner, der nach den Feststellungen im angefochtenen Entscheid sehr nervös war, richtete die Pistole wiederholt gegen ihren Kopf. Er versetzte ihr zudem mit der Pistole einen Schlag. Aus dem angefochtenen Urteil geht zwar nicht hervor, wie lange die Geiselnahme genau gedauert hat. Aufgrund des Ablaufs der Ereignisse - der Beschwerdegegner begab sich mit der Geisel zunächst in den oberen Stock des Restaurants, dann wieder ins Parterre, anschliessend vor das Restaurant und schliesslich zu seinem Personenwagen - liegt es jedoch auf der Hand, dass die Geiselnahme länger als nur, wie in BGE 121 IV 178 , einige Sekunden gedauert hat. Es bestand überdies die naheliegende Möglichkeit einer Befreiungsaktion durch die Polizei mit Risiken auch für die Geisel. Bereits zu Beginn der Geiselnahme waren zwei Polizeibeamte mit gezogener Dienstwaffe anwesend. Später traf auch noch die Überfallgruppe der Stadtpolizei Zürich am Tatort ein. Trotz dieser Polizeipräsenz setzte der Beschwerdegegner die Geiselnahme fort. BGE 121 IV 269 S. 272 Bei dieser Sachlage sind die Rechtsgüter der Geisel objektiv erheblich stärker beeinträchtigt worden, als das beim Grundtatbestand der Fall ist. In BGE 121 IV 178 wurde ausdrücklich darauf hingewiesen, dass es sich dort um einen Grenzfall handelte (E. 2e). Hier sind die Rechtsgüter der Geisel aber deutlich stärker betroffen worden: Im Unterschied zu jenem Fall gab der Beschwerdegegner vor der Geiselnahme in Anwesenheit der späteren Geisel einen Schuss ab. Er hielt der Geisel die Pistole wiederholt gegen den Kopf und versetzte ihr zudem mit der Waffe einen Schlag; in BGE 121 IV 178 tat der Täter der Geisel über die kurze Bedrohung hinaus demgegenüber nichts an. Im vorliegenden Fall schliesslich waren Polizeibeamte am Tatort mit gezogener Dienstwaffe anwesend, in dem in BGE 121 IV 178 zu beurteilenden Fall dagegen nicht. d) Die Beschwerde ist deshalb gutzuheissen und die Sache zur Neubeurteilung an die Vorinstanz zurückzuweisen. Sie wird sich darüber auszusprechen haben, ob die gegenüber dem Grundtatbestand objektiv erheblich stärkere Beeinträchtigung der Rechtsgüter der Geisel vom Vorsatz des Beschwerdegegners umfasst war. Bejahendenfalls wird sie ihn der qualifizierten Geiselnahme nach Art. 185 Ziff. 2 StGB schuldig zu 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